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992" w:rsidRDefault="00302992" w:rsidP="00C4688B">
      <w:pPr>
        <w:ind w:left="4820"/>
      </w:pPr>
      <w:bookmarkStart w:id="0" w:name="_GoBack"/>
      <w:bookmarkEnd w:id="0"/>
    </w:p>
    <w:p w:rsidR="00302992" w:rsidRDefault="00302992"/>
    <w:p w:rsidR="00302992" w:rsidRDefault="00302992"/>
    <w:tbl>
      <w:tblPr>
        <w:tblW w:w="8505" w:type="dxa"/>
        <w:tblInd w:w="108" w:type="dxa"/>
        <w:tblLayout w:type="fixed"/>
        <w:tblLook w:val="0000" w:firstRow="0" w:lastRow="0" w:firstColumn="0" w:lastColumn="0" w:noHBand="0" w:noVBand="0"/>
      </w:tblPr>
      <w:tblGrid>
        <w:gridCol w:w="8505"/>
      </w:tblGrid>
      <w:tr w:rsidR="009331E4" w:rsidTr="00CA6E65">
        <w:trPr>
          <w:trHeight w:val="80"/>
        </w:trPr>
        <w:tc>
          <w:tcPr>
            <w:tcW w:w="8505" w:type="dxa"/>
          </w:tcPr>
          <w:p w:rsidR="00C4688B" w:rsidRDefault="00C4688B">
            <w:pPr>
              <w:pStyle w:val="Intgralebase"/>
              <w:ind w:left="3294" w:right="742"/>
            </w:pPr>
          </w:p>
          <w:p w:rsidR="00C4688B" w:rsidRDefault="00C4688B">
            <w:pPr>
              <w:pStyle w:val="Intgralebase"/>
              <w:ind w:left="3294" w:right="742"/>
            </w:pPr>
          </w:p>
          <w:p w:rsidR="009331E4" w:rsidRDefault="00303854">
            <w:pPr>
              <w:pStyle w:val="Intgralebase"/>
              <w:ind w:left="3294" w:right="742"/>
            </w:pPr>
            <w:r>
              <w:rPr>
                <w:noProof/>
              </w:rPr>
              <mc:AlternateContent>
                <mc:Choice Requires="wps">
                  <w:drawing>
                    <wp:anchor distT="0" distB="0" distL="114300" distR="114300" simplePos="0" relativeHeight="251657728" behindDoc="0" locked="1" layoutInCell="1" allowOverlap="1" wp14:anchorId="20A9EC5E" wp14:editId="74892F57">
                      <wp:simplePos x="0" y="0"/>
                      <wp:positionH relativeFrom="page">
                        <wp:posOffset>-1651635</wp:posOffset>
                      </wp:positionH>
                      <wp:positionV relativeFrom="page">
                        <wp:posOffset>-37465</wp:posOffset>
                      </wp:positionV>
                      <wp:extent cx="1259840" cy="8352155"/>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35215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35270A" w:rsidRPr="00EB7C9E" w:rsidRDefault="0035270A" w:rsidP="0035270A">
                                  <w:pPr>
                                    <w:pStyle w:val="Intgralebase"/>
                                    <w:spacing w:line="210" w:lineRule="exact"/>
                                    <w:jc w:val="right"/>
                                    <w:rPr>
                                      <w:rFonts w:ascii="Arial Narrow" w:hAnsi="Arial Narrow"/>
                                      <w:spacing w:val="10"/>
                                      <w:sz w:val="16"/>
                                    </w:rPr>
                                  </w:pPr>
                                </w:p>
                                <w:p w:rsidR="00644EFD" w:rsidRDefault="00644EFD" w:rsidP="0035270A">
                                  <w:pPr>
                                    <w:pStyle w:val="Intgralebase"/>
                                    <w:spacing w:line="210" w:lineRule="exact"/>
                                    <w:jc w:val="right"/>
                                    <w:rPr>
                                      <w:rFonts w:ascii="Arial Narrow" w:hAnsi="Arial Narrow"/>
                                      <w:spacing w:val="10"/>
                                      <w:sz w:val="16"/>
                                    </w:rPr>
                                  </w:pPr>
                                  <w:r w:rsidRPr="00644EFD">
                                    <w:rPr>
                                      <w:rFonts w:ascii="Arial Narrow" w:hAnsi="Arial Narrow"/>
                                      <w:spacing w:val="10"/>
                                      <w:sz w:val="16"/>
                                    </w:rPr>
                                    <w:t>Service de l’attractivité et de la politique des ressources humaines</w:t>
                                  </w:r>
                                </w:p>
                                <w:p w:rsidR="00644EFD" w:rsidRDefault="00644EFD" w:rsidP="0035270A">
                                  <w:pPr>
                                    <w:pStyle w:val="Intgralebase"/>
                                    <w:spacing w:line="210" w:lineRule="exact"/>
                                    <w:jc w:val="right"/>
                                    <w:rPr>
                                      <w:rFonts w:ascii="Arial Narrow" w:hAnsi="Arial Narrow"/>
                                      <w:spacing w:val="10"/>
                                      <w:sz w:val="16"/>
                                    </w:rPr>
                                  </w:pPr>
                                </w:p>
                                <w:p w:rsidR="0035270A" w:rsidRPr="00997560" w:rsidRDefault="00644EFD" w:rsidP="0035270A">
                                  <w:pPr>
                                    <w:pStyle w:val="Intgralebase"/>
                                    <w:spacing w:line="210" w:lineRule="exact"/>
                                    <w:jc w:val="right"/>
                                    <w:rPr>
                                      <w:rFonts w:ascii="Arial Narrow" w:hAnsi="Arial Narrow"/>
                                      <w:b/>
                                      <w:spacing w:val="10"/>
                                      <w:sz w:val="16"/>
                                    </w:rPr>
                                  </w:pPr>
                                  <w:r w:rsidRPr="00644EFD">
                                    <w:rPr>
                                      <w:rFonts w:ascii="Arial Narrow" w:hAnsi="Arial Narrow"/>
                                      <w:spacing w:val="10"/>
                                      <w:sz w:val="16"/>
                                    </w:rPr>
                                    <w:t xml:space="preserve">Sous-direction </w:t>
                                  </w:r>
                                  <w:r>
                                    <w:rPr>
                                      <w:rFonts w:ascii="Arial Narrow" w:hAnsi="Arial Narrow"/>
                                      <w:spacing w:val="10"/>
                                      <w:sz w:val="16"/>
                                    </w:rPr>
                                    <w:t xml:space="preserve">de </w:t>
                                  </w:r>
                                  <w:r w:rsidRPr="00644EFD">
                                    <w:rPr>
                                      <w:rFonts w:ascii="Arial Narrow" w:hAnsi="Arial Narrow"/>
                                      <w:spacing w:val="10"/>
                                      <w:sz w:val="16"/>
                                    </w:rPr>
                                    <w:t>l'attractivité des métiers et du recrutement</w:t>
                                  </w:r>
                                  <w:r w:rsidR="0035270A" w:rsidRPr="00997560">
                                    <w:rPr>
                                      <w:rFonts w:ascii="Arial Narrow" w:hAnsi="Arial Narrow"/>
                                      <w:b/>
                                      <w:spacing w:val="10"/>
                                      <w:sz w:val="16"/>
                                    </w:rPr>
                                    <w:br/>
                                  </w:r>
                                </w:p>
                                <w:p w:rsidR="0035270A" w:rsidRPr="00CA6E65" w:rsidRDefault="0035270A" w:rsidP="0035270A">
                                  <w:pPr>
                                    <w:pStyle w:val="Intgralebase"/>
                                    <w:spacing w:line="210" w:lineRule="exact"/>
                                    <w:jc w:val="right"/>
                                    <w:rPr>
                                      <w:rFonts w:ascii="Arial Narrow" w:hAnsi="Arial Narrow"/>
                                      <w:spacing w:val="10"/>
                                      <w:sz w:val="16"/>
                                    </w:rPr>
                                  </w:pPr>
                                  <w:r>
                                    <w:rPr>
                                      <w:rFonts w:ascii="Arial Narrow" w:hAnsi="Arial Narrow"/>
                                      <w:spacing w:val="10"/>
                                      <w:sz w:val="16"/>
                                    </w:rPr>
                                    <w:t>DGRH D</w:t>
                                  </w:r>
                                  <w:r w:rsidR="00644EFD">
                                    <w:rPr>
                                      <w:rFonts w:ascii="Arial Narrow" w:hAnsi="Arial Narrow"/>
                                      <w:spacing w:val="10"/>
                                      <w:sz w:val="16"/>
                                    </w:rPr>
                                    <w:t>2-</w:t>
                                  </w:r>
                                  <w:r>
                                    <w:rPr>
                                      <w:rFonts w:ascii="Arial Narrow" w:hAnsi="Arial Narrow"/>
                                      <w:spacing w:val="10"/>
                                      <w:sz w:val="16"/>
                                    </w:rPr>
                                    <w:t>5</w:t>
                                  </w:r>
                                </w:p>
                                <w:p w:rsidR="009331E4" w:rsidRPr="00C4688B" w:rsidRDefault="009331E4" w:rsidP="00C4688B"/>
                              </w:txbxContent>
                            </wps:txbx>
                            <wps:bodyPr rot="0" vert="horz" wrap="square" lIns="180000" tIns="180000" rIns="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9EC5E" id="_x0000_t202" coordsize="21600,21600" o:spt="202" path="m,l,21600r21600,l21600,xe">
                      <v:stroke joinstyle="miter"/>
                      <v:path gradientshapeok="t" o:connecttype="rect"/>
                    </v:shapetype>
                    <v:shape id="Text Box 26" o:spid="_x0000_s1026" type="#_x0000_t202" style="position:absolute;left:0;text-align:left;margin-left:-130.05pt;margin-top:-2.95pt;width:99.2pt;height:657.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" filled="f" fillcolor="silver" stroked="f" strokecolor="#969696">
                      <v:textbox inset="5mm,5mm,0,5mm">
                        <w:txbxContent>
                          <w:p w:rsidR="0035270A" w:rsidRPr="00EB7C9E" w:rsidRDefault="0035270A" w:rsidP="0035270A">
                            <w:pPr>
                              <w:pStyle w:val="Intgralebase"/>
                              <w:spacing w:line="210" w:lineRule="exact"/>
                              <w:jc w:val="right"/>
                              <w:rPr>
                                <w:rFonts w:ascii="Arial Narrow" w:hAnsi="Arial Narrow"/>
                                <w:spacing w:val="10"/>
                                <w:sz w:val="16"/>
                              </w:rPr>
                            </w:pPr>
                          </w:p>
                          <w:p w:rsidR="00644EFD" w:rsidRDefault="00644EFD" w:rsidP="0035270A">
                            <w:pPr>
                              <w:pStyle w:val="Intgralebase"/>
                              <w:spacing w:line="210" w:lineRule="exact"/>
                              <w:jc w:val="right"/>
                              <w:rPr>
                                <w:rFonts w:ascii="Arial Narrow" w:hAnsi="Arial Narrow"/>
                                <w:spacing w:val="10"/>
                                <w:sz w:val="16"/>
                              </w:rPr>
                            </w:pPr>
                            <w:r w:rsidRPr="00644EFD">
                              <w:rPr>
                                <w:rFonts w:ascii="Arial Narrow" w:hAnsi="Arial Narrow"/>
                                <w:spacing w:val="10"/>
                                <w:sz w:val="16"/>
                              </w:rPr>
                              <w:t>Service de l’attractivité et de la politique des ressources humaines</w:t>
                            </w:r>
                          </w:p>
                          <w:p w:rsidR="00644EFD" w:rsidRDefault="00644EFD" w:rsidP="0035270A">
                            <w:pPr>
                              <w:pStyle w:val="Intgralebase"/>
                              <w:spacing w:line="210" w:lineRule="exact"/>
                              <w:jc w:val="right"/>
                              <w:rPr>
                                <w:rFonts w:ascii="Arial Narrow" w:hAnsi="Arial Narrow"/>
                                <w:spacing w:val="10"/>
                                <w:sz w:val="16"/>
                              </w:rPr>
                            </w:pPr>
                          </w:p>
                          <w:p w:rsidR="0035270A" w:rsidRPr="00997560" w:rsidRDefault="00644EFD" w:rsidP="0035270A">
                            <w:pPr>
                              <w:pStyle w:val="Intgralebase"/>
                              <w:spacing w:line="210" w:lineRule="exact"/>
                              <w:jc w:val="right"/>
                              <w:rPr>
                                <w:rFonts w:ascii="Arial Narrow" w:hAnsi="Arial Narrow"/>
                                <w:b/>
                                <w:spacing w:val="10"/>
                                <w:sz w:val="16"/>
                              </w:rPr>
                            </w:pPr>
                            <w:r w:rsidRPr="00644EFD">
                              <w:rPr>
                                <w:rFonts w:ascii="Arial Narrow" w:hAnsi="Arial Narrow"/>
                                <w:spacing w:val="10"/>
                                <w:sz w:val="16"/>
                              </w:rPr>
                              <w:t xml:space="preserve">Sous-direction </w:t>
                            </w:r>
                            <w:r>
                              <w:rPr>
                                <w:rFonts w:ascii="Arial Narrow" w:hAnsi="Arial Narrow"/>
                                <w:spacing w:val="10"/>
                                <w:sz w:val="16"/>
                              </w:rPr>
                              <w:t xml:space="preserve">de </w:t>
                            </w:r>
                            <w:r w:rsidRPr="00644EFD">
                              <w:rPr>
                                <w:rFonts w:ascii="Arial Narrow" w:hAnsi="Arial Narrow"/>
                                <w:spacing w:val="10"/>
                                <w:sz w:val="16"/>
                              </w:rPr>
                              <w:t>l'attractivité des métiers et du recrutement</w:t>
                            </w:r>
                            <w:r w:rsidR="0035270A" w:rsidRPr="00997560">
                              <w:rPr>
                                <w:rFonts w:ascii="Arial Narrow" w:hAnsi="Arial Narrow"/>
                                <w:b/>
                                <w:spacing w:val="10"/>
                                <w:sz w:val="16"/>
                              </w:rPr>
                              <w:br/>
                            </w:r>
                          </w:p>
                          <w:p w:rsidR="0035270A" w:rsidRPr="00CA6E65" w:rsidRDefault="0035270A" w:rsidP="0035270A">
                            <w:pPr>
                              <w:pStyle w:val="Intgralebase"/>
                              <w:spacing w:line="210" w:lineRule="exact"/>
                              <w:jc w:val="right"/>
                              <w:rPr>
                                <w:rFonts w:ascii="Arial Narrow" w:hAnsi="Arial Narrow"/>
                                <w:spacing w:val="10"/>
                                <w:sz w:val="16"/>
                              </w:rPr>
                            </w:pPr>
                            <w:r>
                              <w:rPr>
                                <w:rFonts w:ascii="Arial Narrow" w:hAnsi="Arial Narrow"/>
                                <w:spacing w:val="10"/>
                                <w:sz w:val="16"/>
                              </w:rPr>
                              <w:t>DGRH D</w:t>
                            </w:r>
                            <w:r w:rsidR="00644EFD">
                              <w:rPr>
                                <w:rFonts w:ascii="Arial Narrow" w:hAnsi="Arial Narrow"/>
                                <w:spacing w:val="10"/>
                                <w:sz w:val="16"/>
                              </w:rPr>
                              <w:t>2-</w:t>
                            </w:r>
                            <w:r>
                              <w:rPr>
                                <w:rFonts w:ascii="Arial Narrow" w:hAnsi="Arial Narrow"/>
                                <w:spacing w:val="10"/>
                                <w:sz w:val="16"/>
                              </w:rPr>
                              <w:t>5</w:t>
                            </w:r>
                          </w:p>
                          <w:p w:rsidR="009331E4" w:rsidRPr="00C4688B" w:rsidRDefault="009331E4" w:rsidP="00C4688B"/>
                        </w:txbxContent>
                      </v:textbox>
                      <w10:wrap anchorx="page" anchory="page"/>
                      <w10:anchorlock/>
                    </v:shape>
                  </w:pict>
                </mc:Fallback>
              </mc:AlternateContent>
            </w:r>
          </w:p>
        </w:tc>
      </w:tr>
      <w:tr w:rsidR="009331E4" w:rsidTr="00CA6E65">
        <w:trPr>
          <w:trHeight w:val="80"/>
        </w:trPr>
        <w:tc>
          <w:tcPr>
            <w:tcW w:w="8505" w:type="dxa"/>
          </w:tcPr>
          <w:p w:rsidR="009331E4" w:rsidRDefault="009331E4">
            <w:pPr>
              <w:pStyle w:val="Intgralebase"/>
              <w:ind w:left="3294" w:right="742"/>
            </w:pPr>
          </w:p>
        </w:tc>
      </w:tr>
    </w:tbl>
    <w:p w:rsidR="009331E4" w:rsidRDefault="009331E4">
      <w:pPr>
        <w:pStyle w:val="Intgralebase"/>
        <w:ind w:left="6804"/>
        <w:outlineLvl w:val="0"/>
        <w:rPr>
          <w:b/>
          <w:sz w:val="8"/>
        </w:rPr>
      </w:pPr>
    </w:p>
    <w:p w:rsidR="009331E4" w:rsidRDefault="009331E4">
      <w:pPr>
        <w:pStyle w:val="Intgralebase"/>
        <w:ind w:left="6804"/>
        <w:outlineLvl w:val="0"/>
        <w:rPr>
          <w:b/>
          <w:sz w:val="8"/>
        </w:rPr>
      </w:pPr>
    </w:p>
    <w:p w:rsidR="00CA6E65" w:rsidRPr="00040A28" w:rsidRDefault="00393B60" w:rsidP="00CA6E65">
      <w:pPr>
        <w:pStyle w:val="Intgralebase"/>
        <w:ind w:left="72" w:right="284"/>
        <w:jc w:val="center"/>
        <w:rPr>
          <w:rFonts w:cs="Arial"/>
          <w:b/>
          <w:noProof/>
          <w:sz w:val="22"/>
          <w:szCs w:val="22"/>
        </w:rPr>
      </w:pPr>
      <w:r>
        <w:rPr>
          <w:rFonts w:cs="Arial"/>
          <w:b/>
          <w:noProof/>
          <w:sz w:val="22"/>
          <w:szCs w:val="22"/>
        </w:rPr>
        <w:t>Décision</w:t>
      </w:r>
    </w:p>
    <w:p w:rsidR="00CA6E65" w:rsidRPr="00040A28" w:rsidRDefault="00CA6E65" w:rsidP="00CA6E65">
      <w:pPr>
        <w:tabs>
          <w:tab w:val="left" w:pos="9072"/>
          <w:tab w:val="left" w:pos="9356"/>
        </w:tabs>
        <w:spacing w:line="280" w:lineRule="exact"/>
        <w:ind w:right="284"/>
        <w:jc w:val="both"/>
        <w:rPr>
          <w:rFonts w:ascii="Arial" w:hAnsi="Arial" w:cs="Arial"/>
          <w:sz w:val="22"/>
          <w:szCs w:val="22"/>
        </w:rPr>
      </w:pPr>
    </w:p>
    <w:p w:rsidR="00CA6E65" w:rsidRPr="00E12654" w:rsidRDefault="002410F7" w:rsidP="00CA6E65">
      <w:pPr>
        <w:pStyle w:val="Normalcentr"/>
        <w:tabs>
          <w:tab w:val="left" w:pos="9356"/>
          <w:tab w:val="left" w:pos="9781"/>
        </w:tabs>
        <w:spacing w:line="280" w:lineRule="exact"/>
        <w:ind w:left="0" w:right="284"/>
        <w:rPr>
          <w:rFonts w:cs="Arial"/>
          <w:b/>
          <w:sz w:val="22"/>
          <w:szCs w:val="22"/>
        </w:rPr>
      </w:pPr>
      <w:r>
        <w:rPr>
          <w:b/>
          <w:bCs/>
          <w:sz w:val="22"/>
          <w:szCs w:val="22"/>
        </w:rPr>
        <w:t>p</w:t>
      </w:r>
      <w:r w:rsidR="00E12654" w:rsidRPr="00E12654">
        <w:rPr>
          <w:b/>
          <w:bCs/>
          <w:sz w:val="22"/>
          <w:szCs w:val="22"/>
        </w:rPr>
        <w:t xml:space="preserve">ortant nomination du jury d’admissibilité pour le recrutement </w:t>
      </w:r>
      <w:r w:rsidR="001C5DFE">
        <w:rPr>
          <w:b/>
          <w:bCs/>
          <w:sz w:val="22"/>
          <w:szCs w:val="22"/>
        </w:rPr>
        <w:t>externe</w:t>
      </w:r>
      <w:r w:rsidR="00E12654" w:rsidRPr="00E12654">
        <w:rPr>
          <w:b/>
          <w:bCs/>
          <w:sz w:val="22"/>
          <w:szCs w:val="22"/>
        </w:rPr>
        <w:t xml:space="preserve"> </w:t>
      </w:r>
      <w:r w:rsidR="001C5DFE">
        <w:rPr>
          <w:b/>
          <w:bCs/>
          <w:sz w:val="22"/>
          <w:szCs w:val="22"/>
        </w:rPr>
        <w:t>d'ingénieurs de recherche</w:t>
      </w:r>
      <w:r w:rsidR="00E12654" w:rsidRPr="00E12654">
        <w:rPr>
          <w:b/>
          <w:bCs/>
          <w:sz w:val="22"/>
          <w:szCs w:val="22"/>
        </w:rPr>
        <w:t xml:space="preserve">, branche d'activité professionnelle </w:t>
      </w:r>
      <w:r w:rsidR="001C5DFE">
        <w:rPr>
          <w:b/>
          <w:bCs/>
          <w:sz w:val="22"/>
          <w:szCs w:val="22"/>
        </w:rPr>
        <w:t>A</w:t>
      </w:r>
      <w:r w:rsidR="00E12654" w:rsidRPr="00E12654">
        <w:rPr>
          <w:b/>
          <w:bCs/>
          <w:sz w:val="22"/>
          <w:szCs w:val="22"/>
        </w:rPr>
        <w:t xml:space="preserve"> (</w:t>
      </w:r>
      <w:r w:rsidR="001C5DFE">
        <w:rPr>
          <w:b/>
          <w:bCs/>
          <w:sz w:val="22"/>
          <w:szCs w:val="22"/>
        </w:rPr>
        <w:t>sciences du vivant, de la terre et de l'environnement</w:t>
      </w:r>
      <w:r w:rsidR="00E12654" w:rsidRPr="00E12654">
        <w:rPr>
          <w:b/>
          <w:bCs/>
          <w:sz w:val="22"/>
          <w:szCs w:val="22"/>
        </w:rPr>
        <w:t xml:space="preserve">), </w:t>
      </w:r>
      <w:r w:rsidR="001C5DFE">
        <w:rPr>
          <w:b/>
          <w:bCs/>
          <w:sz w:val="22"/>
          <w:szCs w:val="22"/>
        </w:rPr>
        <w:t>emploi-type Ingénieur-e biologiste en plateforme scientifique</w:t>
      </w:r>
      <w:r w:rsidR="00E12654" w:rsidRPr="00E12654">
        <w:rPr>
          <w:b/>
          <w:bCs/>
          <w:sz w:val="22"/>
          <w:szCs w:val="22"/>
        </w:rPr>
        <w:t xml:space="preserve">, session </w:t>
      </w:r>
      <w:r w:rsidR="001C5DFE">
        <w:rPr>
          <w:b/>
          <w:bCs/>
          <w:sz w:val="22"/>
          <w:szCs w:val="22"/>
        </w:rPr>
        <w:t>2025</w:t>
      </w:r>
    </w:p>
    <w:p w:rsidR="00CA6E65" w:rsidRPr="00080B26" w:rsidRDefault="00CA6E65" w:rsidP="00CA6E65">
      <w:pPr>
        <w:pStyle w:val="Corpsdetexte"/>
        <w:spacing w:line="280" w:lineRule="exact"/>
        <w:ind w:right="284"/>
        <w:rPr>
          <w:rFonts w:ascii="Arial" w:hAnsi="Arial" w:cs="Arial"/>
          <w:smallCaps/>
          <w:sz w:val="20"/>
          <w:szCs w:val="20"/>
        </w:rPr>
      </w:pPr>
    </w:p>
    <w:p w:rsidR="000D0A67" w:rsidRDefault="000D0A67" w:rsidP="000408FB">
      <w:pPr>
        <w:pStyle w:val="Intgralebase"/>
        <w:tabs>
          <w:tab w:val="left" w:pos="0"/>
        </w:tabs>
        <w:spacing w:line="240" w:lineRule="auto"/>
        <w:ind w:hanging="2608"/>
        <w:rPr>
          <w:rFonts w:cs="Arial"/>
        </w:rPr>
      </w:pPr>
      <w:r>
        <w:rPr>
          <w:rFonts w:ascii="Arial Narrow" w:hAnsi="Arial Narrow"/>
          <w:sz w:val="16"/>
        </w:rPr>
        <w:t xml:space="preserve">N° </w:t>
      </w:r>
      <w:r w:rsidR="001C5DFE">
        <w:rPr>
          <w:rFonts w:ascii="Arial Narrow" w:hAnsi="Arial Narrow"/>
          <w:sz w:val="16"/>
        </w:rPr>
        <w:t>A1A42IR2EPE</w:t>
      </w:r>
      <w:r>
        <w:tab/>
      </w:r>
      <w:r w:rsidR="001C5DFE">
        <w:rPr>
          <w:rFonts w:cs="Arial"/>
          <w:b/>
          <w:bCs/>
        </w:rPr>
        <w:t>Le ministre chargé de l'enseignement supérieur et de la recherche</w:t>
      </w:r>
    </w:p>
    <w:p w:rsidR="00CA6E65" w:rsidRDefault="00CA6E65" w:rsidP="00CA6E65">
      <w:pPr>
        <w:pStyle w:val="Intgralebase"/>
        <w:spacing w:line="240" w:lineRule="auto"/>
        <w:jc w:val="both"/>
      </w:pPr>
    </w:p>
    <w:p w:rsidR="00CA6E65" w:rsidRDefault="00CA6E65" w:rsidP="00CA6E65">
      <w:pPr>
        <w:pStyle w:val="Intgralebase"/>
        <w:spacing w:line="240" w:lineRule="auto"/>
        <w:jc w:val="both"/>
      </w:pPr>
    </w:p>
    <w:p w:rsidR="00CA6E65" w:rsidRDefault="00CA6E65" w:rsidP="00CA6E65">
      <w:pPr>
        <w:pStyle w:val="Intgralebase"/>
        <w:spacing w:line="240" w:lineRule="auto"/>
        <w:jc w:val="both"/>
      </w:pPr>
      <w:r>
        <w:t xml:space="preserve">Vu le décret n°85-1534 du 31 décembre 1985 modifié fixant les dispositions statutaires applicables aux ingénieurs et aux personnels techniques et administratifs de recherche et de formation du ministère </w:t>
      </w:r>
      <w:r w:rsidR="00F35ACF" w:rsidRPr="00FC6C65">
        <w:t xml:space="preserve">chargé de l’enseignement supérieur </w:t>
      </w:r>
      <w:r w:rsidRPr="00FC6C65">
        <w:t>;</w:t>
      </w:r>
    </w:p>
    <w:p w:rsidR="00CA6E65" w:rsidRDefault="00CA6E65" w:rsidP="00CA6E65">
      <w:pPr>
        <w:pStyle w:val="Intgralebase"/>
        <w:spacing w:line="240" w:lineRule="auto"/>
        <w:jc w:val="both"/>
      </w:pPr>
    </w:p>
    <w:p w:rsidR="00F35ACF" w:rsidRPr="00F35ACF" w:rsidRDefault="00F35ACF" w:rsidP="00F35ACF">
      <w:pPr>
        <w:jc w:val="both"/>
        <w:rPr>
          <w:rFonts w:ascii="Arial" w:hAnsi="Arial" w:cs="Arial"/>
          <w:sz w:val="20"/>
        </w:rPr>
      </w:pPr>
      <w:r w:rsidRPr="00F35ACF">
        <w:rPr>
          <w:rFonts w:ascii="Arial" w:hAnsi="Arial" w:cs="Arial"/>
          <w:sz w:val="20"/>
        </w:rPr>
        <w:t>Vu l’arrêté du 28 décembre 2011 relatif aux modalités d’organisation et aux règles de désignation des jurys de concours et d’examens professionnels de recrutement et d’avancement dans les corps d’ingénieurs et de personnels techniques de recherche et de formation du ministère chargé de l’enseignement supérieur ;</w:t>
      </w:r>
    </w:p>
    <w:p w:rsidR="00F35ACF" w:rsidRDefault="00F35ACF" w:rsidP="00F35ACF">
      <w:pPr>
        <w:jc w:val="both"/>
        <w:rPr>
          <w:sz w:val="22"/>
        </w:rPr>
      </w:pPr>
    </w:p>
    <w:p w:rsidR="00F35ACF" w:rsidRDefault="00F35ACF" w:rsidP="00F35ACF">
      <w:pPr>
        <w:pStyle w:val="SNNature"/>
        <w:jc w:val="both"/>
      </w:pPr>
      <w:r w:rsidRPr="00F35ACF">
        <w:t>Vu l’arrêté du 29 décembre 2011 relatif aux règles de composition des jurys et aux modalités de désignation des experts susceptibles de siéger dans les jurys de concours et d’examens professionnels de recrutement et d’avancement dans les corps d’ingénieurs et de personnels techniques de recherche et de formation du ministère chargé de l’enseignement supérieur</w:t>
      </w:r>
      <w:r>
        <w:t> ;</w:t>
      </w:r>
    </w:p>
    <w:p w:rsidR="00CA6E65" w:rsidRDefault="00CA6E65" w:rsidP="00CA6E65">
      <w:pPr>
        <w:pStyle w:val="Intgralebase"/>
        <w:spacing w:line="240" w:lineRule="auto"/>
        <w:jc w:val="both"/>
      </w:pPr>
    </w:p>
    <w:p w:rsidR="00CA6E65" w:rsidRDefault="00CA6E65" w:rsidP="00CA6E65">
      <w:pPr>
        <w:pStyle w:val="Intgralebase"/>
        <w:spacing w:line="240" w:lineRule="auto"/>
        <w:jc w:val="both"/>
      </w:pPr>
      <w:r>
        <w:t xml:space="preserve">Vu l'arrêté du </w:t>
      </w:r>
      <w:r w:rsidR="001C5DFE">
        <w:t>25 mars 2025</w:t>
      </w:r>
      <w:r>
        <w:t xml:space="preserve"> autorisant au titre de l'année </w:t>
      </w:r>
      <w:r w:rsidR="001C5DFE">
        <w:t>2025</w:t>
      </w:r>
      <w:r>
        <w:t xml:space="preserve"> l'ouverture de concours pour le recrutement </w:t>
      </w:r>
      <w:r w:rsidR="001C5DFE">
        <w:t>d'ingénieurs de recherche</w:t>
      </w:r>
      <w:r w:rsidR="000B38EE">
        <w:t>,</w:t>
      </w:r>
    </w:p>
    <w:p w:rsidR="00CA6E65" w:rsidRDefault="00CA6E65" w:rsidP="00CA6E65">
      <w:pPr>
        <w:pStyle w:val="Intgralebase"/>
        <w:spacing w:line="240" w:lineRule="auto"/>
        <w:jc w:val="both"/>
      </w:pPr>
    </w:p>
    <w:p w:rsidR="00CA6E65" w:rsidRDefault="00CA6E65" w:rsidP="00CA6E65">
      <w:pPr>
        <w:pStyle w:val="Intgralebase"/>
        <w:spacing w:line="240" w:lineRule="auto"/>
        <w:jc w:val="both"/>
      </w:pPr>
    </w:p>
    <w:p w:rsidR="00CA6E65" w:rsidRDefault="00CA6E65" w:rsidP="00CA6E65">
      <w:pPr>
        <w:pStyle w:val="Intgralebase"/>
        <w:spacing w:line="240" w:lineRule="auto"/>
        <w:jc w:val="both"/>
      </w:pPr>
    </w:p>
    <w:p w:rsidR="00CA6E65" w:rsidRPr="00215F5E" w:rsidRDefault="00393B60" w:rsidP="00CA6E65">
      <w:pPr>
        <w:spacing w:line="240" w:lineRule="exact"/>
        <w:jc w:val="center"/>
        <w:rPr>
          <w:rFonts w:ascii="Arial" w:hAnsi="Arial"/>
          <w:b/>
          <w:bCs/>
          <w:sz w:val="20"/>
          <w:lang w:val="de-DE"/>
        </w:rPr>
      </w:pPr>
      <w:r>
        <w:rPr>
          <w:rFonts w:ascii="Arial" w:hAnsi="Arial"/>
          <w:b/>
          <w:bCs/>
          <w:sz w:val="20"/>
          <w:lang w:val="de-DE"/>
        </w:rPr>
        <w:t>DÉCIDE</w:t>
      </w:r>
    </w:p>
    <w:p w:rsidR="00CA6E65" w:rsidRDefault="00CA6E65" w:rsidP="00CA6E65">
      <w:pPr>
        <w:spacing w:line="240" w:lineRule="exact"/>
        <w:jc w:val="both"/>
        <w:rPr>
          <w:rFonts w:ascii="Arial" w:hAnsi="Arial"/>
          <w:sz w:val="20"/>
          <w:lang w:val="de-DE"/>
        </w:rPr>
      </w:pPr>
    </w:p>
    <w:p w:rsidR="00CA6E65" w:rsidRDefault="00CA6E65" w:rsidP="00CA6E65">
      <w:pPr>
        <w:spacing w:line="240" w:lineRule="exact"/>
        <w:jc w:val="both"/>
        <w:rPr>
          <w:rFonts w:ascii="Arial" w:hAnsi="Arial"/>
          <w:sz w:val="20"/>
          <w:lang w:val="de-DE"/>
        </w:rPr>
      </w:pPr>
    </w:p>
    <w:p w:rsidR="00CA6E65" w:rsidRDefault="00CA6E65" w:rsidP="00CA6E65">
      <w:pPr>
        <w:pStyle w:val="Intgralebase"/>
        <w:spacing w:line="240" w:lineRule="auto"/>
        <w:jc w:val="both"/>
      </w:pPr>
      <w:bookmarkStart w:id="1" w:name="NumArticle"/>
      <w:r w:rsidRPr="00EE1654">
        <w:rPr>
          <w:u w:val="single"/>
        </w:rPr>
        <w:t>Article</w:t>
      </w:r>
      <w:r w:rsidR="00401A8B">
        <w:rPr>
          <w:u w:val="single"/>
        </w:rPr>
        <w:t> </w:t>
      </w:r>
      <w:r w:rsidR="00E374E7" w:rsidRPr="00792C82">
        <w:rPr>
          <w:u w:val="single"/>
        </w:rPr>
        <w:t>1</w:t>
      </w:r>
      <w:r w:rsidR="00E374E7" w:rsidRPr="00880E3F">
        <w:rPr>
          <w:rFonts w:cs="Arial"/>
          <w:position w:val="11"/>
          <w:u w:val="single"/>
        </w:rPr>
        <w:t>er</w:t>
      </w:r>
      <w:bookmarkEnd w:id="1"/>
      <w:r w:rsidRPr="00F37348">
        <w:t> :</w:t>
      </w:r>
      <w:r>
        <w:t xml:space="preserve"> </w:t>
      </w:r>
      <w:r w:rsidR="00E12654" w:rsidRPr="00E12654">
        <w:t xml:space="preserve">Sont nommés membres du jury d’admissibilité pour le recrutement </w:t>
      </w:r>
      <w:r w:rsidR="001C5DFE">
        <w:t>externe</w:t>
      </w:r>
      <w:r w:rsidR="00E12654" w:rsidRPr="00E12654">
        <w:t xml:space="preserve"> </w:t>
      </w:r>
      <w:r w:rsidR="001C5DFE">
        <w:t>d'ingénieurs de recherche</w:t>
      </w:r>
      <w:r w:rsidR="00E12654" w:rsidRPr="00E12654">
        <w:t xml:space="preserve"> dans la branche d'activité professionnelle </w:t>
      </w:r>
      <w:r w:rsidR="001C5DFE">
        <w:t>A</w:t>
      </w:r>
      <w:r w:rsidR="00E12654" w:rsidRPr="00E12654">
        <w:t xml:space="preserve"> (</w:t>
      </w:r>
      <w:r w:rsidR="001C5DFE">
        <w:t>sciences du vivant, de la terre et de l'environnement</w:t>
      </w:r>
      <w:r w:rsidR="00E12654" w:rsidRPr="00E12654">
        <w:t xml:space="preserve">), </w:t>
      </w:r>
      <w:r w:rsidR="001C5DFE">
        <w:t>emploi-type Ingénieur-e biologiste en plateforme scientifique</w:t>
      </w:r>
      <w:r w:rsidR="00E12654" w:rsidRPr="00E12654">
        <w:t xml:space="preserve">, au titre de l'année </w:t>
      </w:r>
      <w:r w:rsidR="001C5DFE">
        <w:t>2025</w:t>
      </w:r>
      <w:r w:rsidR="00E12654" w:rsidRPr="00E12654">
        <w:t xml:space="preserve"> :</w:t>
      </w:r>
    </w:p>
    <w:p w:rsidR="00CA6E65" w:rsidRDefault="00CA6E65" w:rsidP="00CA6E65">
      <w:pPr>
        <w:spacing w:line="240" w:lineRule="exact"/>
        <w:jc w:val="both"/>
        <w:rPr>
          <w:rFonts w:ascii="Arial" w:hAnsi="Arial"/>
          <w:sz w:val="20"/>
        </w:rPr>
      </w:pPr>
    </w:p>
    <w:p w:rsidR="001C5DFE" w:rsidRDefault="001C5DFE" w:rsidP="009E77D7">
      <w:pPr>
        <w:spacing w:before="60" w:after="60" w:line="240" w:lineRule="exact"/>
        <w:jc w:val="both"/>
        <w:rPr>
          <w:rFonts w:ascii="Arial" w:hAnsi="Arial"/>
          <w:sz w:val="20"/>
        </w:rPr>
      </w:pPr>
      <w:r>
        <w:rPr>
          <w:rFonts w:ascii="Arial" w:hAnsi="Arial"/>
          <w:sz w:val="20"/>
        </w:rPr>
        <w:t>Madame PLANQUES Karine, ingénieure de recherche de 2ème classe cnrs, présidente, Observatoire Océanologique de Banyuls, Banyuls-sur-Mer.</w:t>
      </w:r>
    </w:p>
    <w:p w:rsidR="001C5DFE" w:rsidRDefault="001C5DFE" w:rsidP="009E77D7">
      <w:pPr>
        <w:spacing w:before="60" w:after="60" w:line="240" w:lineRule="exact"/>
        <w:jc w:val="both"/>
        <w:rPr>
          <w:rFonts w:ascii="Arial" w:hAnsi="Arial"/>
          <w:sz w:val="20"/>
        </w:rPr>
      </w:pPr>
      <w:r>
        <w:rPr>
          <w:rFonts w:ascii="Arial" w:hAnsi="Arial"/>
          <w:sz w:val="20"/>
        </w:rPr>
        <w:lastRenderedPageBreak/>
        <w:t>Monsieur BELIN Christophe, maître de conférences hors classe, vice-président, Université de Perpignan Via Domitia, Perpignan.</w:t>
      </w:r>
    </w:p>
    <w:p w:rsidR="001C5DFE" w:rsidRDefault="001C5DFE" w:rsidP="009E77D7">
      <w:pPr>
        <w:spacing w:before="60" w:after="60" w:line="240" w:lineRule="exact"/>
        <w:jc w:val="both"/>
        <w:rPr>
          <w:rFonts w:ascii="Arial" w:hAnsi="Arial"/>
          <w:sz w:val="20"/>
        </w:rPr>
      </w:pPr>
      <w:r>
        <w:rPr>
          <w:rFonts w:ascii="Arial" w:hAnsi="Arial"/>
          <w:sz w:val="20"/>
        </w:rPr>
        <w:t>Madame ALVAREZ MARTINEZ Maria Teresa, ingénieure de recherche inserm, experte, Université de Montpellier, Montpellier.</w:t>
      </w:r>
    </w:p>
    <w:p w:rsidR="001C5DFE" w:rsidRDefault="001C5DFE" w:rsidP="009E77D7">
      <w:pPr>
        <w:spacing w:before="60" w:after="60" w:line="240" w:lineRule="exact"/>
        <w:jc w:val="both"/>
        <w:rPr>
          <w:rFonts w:ascii="Arial" w:hAnsi="Arial"/>
          <w:sz w:val="20"/>
        </w:rPr>
      </w:pPr>
      <w:r>
        <w:rPr>
          <w:rFonts w:ascii="Arial" w:hAnsi="Arial"/>
          <w:sz w:val="20"/>
        </w:rPr>
        <w:t>Madame L'FAQIHI-OLIVE Fatima Ezzahra, ingénieure de recherche hors classe, experte, Université de Toulouse Paul Sabatier, Toulouse.</w:t>
      </w:r>
    </w:p>
    <w:p w:rsidR="001C5DFE" w:rsidRDefault="001C5DFE" w:rsidP="009E77D7">
      <w:pPr>
        <w:spacing w:before="60" w:after="60" w:line="240" w:lineRule="exact"/>
        <w:jc w:val="both"/>
        <w:rPr>
          <w:rFonts w:ascii="Arial" w:hAnsi="Arial"/>
          <w:sz w:val="20"/>
        </w:rPr>
      </w:pPr>
      <w:r>
        <w:rPr>
          <w:rFonts w:ascii="Arial" w:hAnsi="Arial"/>
          <w:sz w:val="20"/>
        </w:rPr>
        <w:t>Monsieur MERRET Rémy, chargé de recherche de classe normale cnrs, expert, Université de Strasbourg, Strasbourg.</w:t>
      </w:r>
    </w:p>
    <w:p w:rsidR="001C5DFE" w:rsidRDefault="001C5DFE" w:rsidP="009E77D7">
      <w:pPr>
        <w:spacing w:before="60" w:after="60" w:line="240" w:lineRule="exact"/>
        <w:jc w:val="both"/>
        <w:rPr>
          <w:rFonts w:ascii="Arial" w:hAnsi="Arial"/>
          <w:sz w:val="20"/>
        </w:rPr>
      </w:pPr>
      <w:r>
        <w:rPr>
          <w:rFonts w:ascii="Arial" w:hAnsi="Arial"/>
          <w:sz w:val="20"/>
        </w:rPr>
        <w:t>Monsieur GORAND Yonko, ingénieur de recherche de 2ème classe, suppléant, Université de Perpignan Via Domitia, Perpignan.</w:t>
      </w:r>
    </w:p>
    <w:p w:rsidR="00CA6E65" w:rsidRDefault="00CA6E65" w:rsidP="009E77D7">
      <w:pPr>
        <w:spacing w:before="60" w:after="60" w:line="240" w:lineRule="exact"/>
        <w:jc w:val="both"/>
        <w:rPr>
          <w:rFonts w:ascii="Arial" w:hAnsi="Arial"/>
          <w:sz w:val="20"/>
        </w:rPr>
      </w:pPr>
    </w:p>
    <w:p w:rsidR="000746C9" w:rsidRPr="00AE423C" w:rsidRDefault="000746C9" w:rsidP="000746C9">
      <w:pPr>
        <w:pStyle w:val="Intgralebase"/>
        <w:spacing w:after="120" w:line="240" w:lineRule="auto"/>
        <w:jc w:val="both"/>
      </w:pPr>
      <w:r w:rsidRPr="00AE423C">
        <w:rPr>
          <w:u w:val="single"/>
        </w:rPr>
        <w:t>Article 2</w:t>
      </w:r>
      <w:r w:rsidRPr="00AE423C">
        <w:t xml:space="preserve"> : </w:t>
      </w:r>
      <w:r w:rsidR="001C5DFE">
        <w:t>En cas d'empêchement de la présidente désignée, la présidence sera assurée par le vice-président désigné</w:t>
      </w:r>
      <w:r w:rsidRPr="00AE423C">
        <w:t>.</w:t>
      </w:r>
    </w:p>
    <w:p w:rsidR="00CA6E65" w:rsidRDefault="00CA6E65" w:rsidP="000B38EE">
      <w:pPr>
        <w:keepNext/>
        <w:spacing w:before="480" w:line="240" w:lineRule="exact"/>
        <w:ind w:left="3686"/>
        <w:jc w:val="both"/>
        <w:rPr>
          <w:rFonts w:ascii="Arial" w:hAnsi="Arial"/>
          <w:sz w:val="20"/>
        </w:rPr>
      </w:pPr>
      <w:r>
        <w:rPr>
          <w:rFonts w:ascii="Arial" w:hAnsi="Arial"/>
          <w:sz w:val="20"/>
        </w:rPr>
        <w:t>Fait à Paris, le</w:t>
      </w:r>
    </w:p>
    <w:p w:rsidR="00CA6E65" w:rsidRDefault="00CA6E65" w:rsidP="000B38EE">
      <w:pPr>
        <w:keepNext/>
        <w:spacing w:before="480" w:line="240" w:lineRule="exact"/>
        <w:ind w:left="3686"/>
        <w:jc w:val="both"/>
        <w:rPr>
          <w:rFonts w:ascii="Arial" w:hAnsi="Arial"/>
          <w:sz w:val="20"/>
        </w:rPr>
      </w:pPr>
    </w:p>
    <w:p w:rsidR="00CA6E65" w:rsidRDefault="001C5DFE" w:rsidP="000408FB">
      <w:pPr>
        <w:keepNext/>
        <w:spacing w:before="240" w:line="240" w:lineRule="exact"/>
        <w:ind w:left="3686"/>
        <w:jc w:val="both"/>
        <w:rPr>
          <w:rFonts w:ascii="Arial" w:hAnsi="Arial"/>
          <w:sz w:val="20"/>
        </w:rPr>
      </w:pPr>
      <w:r>
        <w:rPr>
          <w:rFonts w:ascii="Arial" w:hAnsi="Arial"/>
          <w:sz w:val="20"/>
        </w:rPr>
        <w:t>Pour le ministre chargé de l'enseignement supérieur et de la recherche et par délégation,</w:t>
      </w:r>
    </w:p>
    <w:p w:rsidR="00CA6E65" w:rsidRDefault="00CA6E65" w:rsidP="000408FB">
      <w:pPr>
        <w:keepNext/>
        <w:spacing w:before="960" w:line="240" w:lineRule="exact"/>
        <w:ind w:left="3686"/>
        <w:jc w:val="both"/>
        <w:rPr>
          <w:rFonts w:ascii="Arial" w:hAnsi="Arial"/>
          <w:sz w:val="20"/>
        </w:rPr>
      </w:pPr>
    </w:p>
    <w:sectPr w:rsidR="00CA6E65">
      <w:headerReference w:type="default" r:id="rId6"/>
      <w:footerReference w:type="default" r:id="rId7"/>
      <w:headerReference w:type="first" r:id="rId8"/>
      <w:footerReference w:type="first" r:id="rId9"/>
      <w:pgSz w:w="11906" w:h="16838"/>
      <w:pgMar w:top="2608" w:right="851" w:bottom="1701" w:left="3402" w:header="567" w:footer="56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FE" w:rsidRDefault="001C5DFE">
      <w:r>
        <w:separator/>
      </w:r>
    </w:p>
  </w:endnote>
  <w:endnote w:type="continuationSeparator" w:id="0">
    <w:p w:rsidR="001C5DFE" w:rsidRDefault="001C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nev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1E4" w:rsidRDefault="00AB3DB3">
    <w:pPr>
      <w:pStyle w:val="Pieddepage"/>
      <w:jc w:val="center"/>
      <w:rPr>
        <w:sz w:val="14"/>
      </w:rPr>
    </w:pPr>
    <w:r>
      <w:rPr>
        <w:rFonts w:ascii="Arial Narrow" w:hAnsi="Arial Narrow"/>
      </w:rPr>
      <w:t xml:space="preserve">Concours </w:t>
    </w:r>
    <w:r w:rsidR="001C5DFE">
      <w:rPr>
        <w:rFonts w:ascii="Arial Narrow" w:hAnsi="Arial Narrow"/>
      </w:rPr>
      <w:t>externe</w:t>
    </w:r>
    <w:r>
      <w:rPr>
        <w:rFonts w:ascii="Arial Narrow" w:hAnsi="Arial Narrow"/>
      </w:rPr>
      <w:t xml:space="preserve"> </w:t>
    </w:r>
    <w:r w:rsidR="001C5DFE">
      <w:rPr>
        <w:rFonts w:ascii="Arial Narrow" w:hAnsi="Arial Narrow"/>
      </w:rPr>
      <w:t>d'ingénieurs de recherche</w:t>
    </w:r>
    <w:r>
      <w:rPr>
        <w:rFonts w:ascii="Arial Narrow" w:hAnsi="Arial Narrow"/>
      </w:rPr>
      <w:t xml:space="preserve"> BAP </w:t>
    </w:r>
    <w:r w:rsidR="001C5DFE">
      <w:rPr>
        <w:rFonts w:ascii="Arial Narrow" w:hAnsi="Arial Narrow"/>
      </w:rPr>
      <w:t>A</w:t>
    </w:r>
    <w:r>
      <w:rPr>
        <w:rFonts w:ascii="Arial Narrow" w:hAnsi="Arial Narrow"/>
      </w:rPr>
      <w:t xml:space="preserve"> – </w:t>
    </w:r>
    <w:r w:rsidR="001C5DFE">
      <w:rPr>
        <w:rFonts w:ascii="Arial Narrow" w:hAnsi="Arial Narrow"/>
      </w:rPr>
      <w:t>Ingénieur-e biologiste en plateforme scientifique</w:t>
    </w:r>
    <w:r>
      <w:rPr>
        <w:rFonts w:ascii="Arial Narrow" w:hAnsi="Arial Narrow"/>
      </w:rPr>
      <w:t xml:space="preserve"> – session </w:t>
    </w:r>
    <w:r w:rsidR="001C5DFE">
      <w:rPr>
        <w:rFonts w:ascii="Arial Narrow" w:hAnsi="Arial Narrow"/>
      </w:rPr>
      <w:t>2025</w:t>
    </w:r>
    <w:r w:rsidR="004050EB">
      <w:rPr>
        <w:sz w:val="16"/>
        <w:szCs w:val="16"/>
      </w:rPr>
      <w:br/>
    </w:r>
    <w:r w:rsidR="004050EB" w:rsidRPr="006E338C">
      <w:rPr>
        <w:sz w:val="16"/>
        <w:szCs w:val="16"/>
      </w:rPr>
      <w:t xml:space="preserve">Page </w:t>
    </w:r>
    <w:r w:rsidR="004050EB" w:rsidRPr="006E338C">
      <w:rPr>
        <w:rStyle w:val="Numrodepage"/>
        <w:sz w:val="16"/>
        <w:szCs w:val="16"/>
      </w:rPr>
      <w:fldChar w:fldCharType="begin"/>
    </w:r>
    <w:r w:rsidR="004050EB" w:rsidRPr="006E338C">
      <w:rPr>
        <w:rStyle w:val="Numrodepage"/>
        <w:sz w:val="16"/>
        <w:szCs w:val="16"/>
      </w:rPr>
      <w:instrText xml:space="preserve"> PAGE </w:instrText>
    </w:r>
    <w:r w:rsidR="004050EB" w:rsidRPr="006E338C">
      <w:rPr>
        <w:rStyle w:val="Numrodepage"/>
        <w:sz w:val="16"/>
        <w:szCs w:val="16"/>
      </w:rPr>
      <w:fldChar w:fldCharType="separate"/>
    </w:r>
    <w:r w:rsidR="00644EFD">
      <w:rPr>
        <w:rStyle w:val="Numrodepage"/>
        <w:noProof/>
        <w:sz w:val="16"/>
        <w:szCs w:val="16"/>
      </w:rPr>
      <w:t>2</w:t>
    </w:r>
    <w:r w:rsidR="004050EB" w:rsidRPr="006E338C">
      <w:rPr>
        <w:rStyle w:val="Numrodepage"/>
        <w:sz w:val="16"/>
        <w:szCs w:val="16"/>
      </w:rPr>
      <w:fldChar w:fldCharType="end"/>
    </w:r>
    <w:r w:rsidR="004050EB" w:rsidRPr="006E338C">
      <w:rPr>
        <w:rStyle w:val="Numrodepage"/>
        <w:sz w:val="16"/>
        <w:szCs w:val="16"/>
      </w:rPr>
      <w:t>/</w:t>
    </w:r>
    <w:r w:rsidR="004050EB" w:rsidRPr="006E338C">
      <w:rPr>
        <w:rStyle w:val="Numrodepage"/>
        <w:sz w:val="16"/>
        <w:szCs w:val="16"/>
      </w:rPr>
      <w:fldChar w:fldCharType="begin"/>
    </w:r>
    <w:r w:rsidR="004050EB" w:rsidRPr="006E338C">
      <w:rPr>
        <w:rStyle w:val="Numrodepage"/>
        <w:sz w:val="16"/>
        <w:szCs w:val="16"/>
      </w:rPr>
      <w:instrText xml:space="preserve"> NUMPAGES </w:instrText>
    </w:r>
    <w:r w:rsidR="004050EB" w:rsidRPr="006E338C">
      <w:rPr>
        <w:rStyle w:val="Numrodepage"/>
        <w:sz w:val="16"/>
        <w:szCs w:val="16"/>
      </w:rPr>
      <w:fldChar w:fldCharType="separate"/>
    </w:r>
    <w:r w:rsidR="00644EFD">
      <w:rPr>
        <w:rStyle w:val="Numrodepage"/>
        <w:noProof/>
        <w:sz w:val="16"/>
        <w:szCs w:val="16"/>
      </w:rPr>
      <w:t>2</w:t>
    </w:r>
    <w:r w:rsidR="004050EB" w:rsidRPr="006E338C">
      <w:rPr>
        <w:rStyle w:val="Numrodepag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E65" w:rsidRDefault="00AB3DB3" w:rsidP="00CA6E65">
    <w:pPr>
      <w:pStyle w:val="Pieddepage"/>
      <w:jc w:val="center"/>
    </w:pPr>
    <w:r>
      <w:rPr>
        <w:rFonts w:ascii="Arial Narrow" w:hAnsi="Arial Narrow"/>
      </w:rPr>
      <w:t xml:space="preserve">Concours </w:t>
    </w:r>
    <w:r w:rsidR="001C5DFE">
      <w:rPr>
        <w:rFonts w:ascii="Arial Narrow" w:hAnsi="Arial Narrow"/>
      </w:rPr>
      <w:t>externe</w:t>
    </w:r>
    <w:r>
      <w:rPr>
        <w:rFonts w:ascii="Arial Narrow" w:hAnsi="Arial Narrow"/>
      </w:rPr>
      <w:t xml:space="preserve"> </w:t>
    </w:r>
    <w:r w:rsidR="001C5DFE">
      <w:rPr>
        <w:rFonts w:ascii="Arial Narrow" w:hAnsi="Arial Narrow"/>
      </w:rPr>
      <w:t>d'ingénieurs de recherche</w:t>
    </w:r>
    <w:r>
      <w:rPr>
        <w:rFonts w:ascii="Arial Narrow" w:hAnsi="Arial Narrow"/>
      </w:rPr>
      <w:t xml:space="preserve"> BAP </w:t>
    </w:r>
    <w:r w:rsidR="001C5DFE">
      <w:rPr>
        <w:rFonts w:ascii="Arial Narrow" w:hAnsi="Arial Narrow"/>
      </w:rPr>
      <w:t>A</w:t>
    </w:r>
    <w:r>
      <w:rPr>
        <w:rFonts w:ascii="Arial Narrow" w:hAnsi="Arial Narrow"/>
      </w:rPr>
      <w:t xml:space="preserve"> – </w:t>
    </w:r>
    <w:r w:rsidR="001C5DFE">
      <w:rPr>
        <w:rFonts w:ascii="Arial Narrow" w:hAnsi="Arial Narrow"/>
      </w:rPr>
      <w:t>Ingénieur-e biologiste en plateforme scientifique</w:t>
    </w:r>
    <w:r>
      <w:rPr>
        <w:rFonts w:ascii="Arial Narrow" w:hAnsi="Arial Narrow"/>
      </w:rPr>
      <w:t xml:space="preserve"> – session </w:t>
    </w:r>
    <w:r w:rsidR="001C5DFE">
      <w:rPr>
        <w:rFonts w:ascii="Arial Narrow" w:hAnsi="Arial Narrow"/>
      </w:rPr>
      <w:t>2025</w:t>
    </w:r>
    <w:r w:rsidR="00CA6E65">
      <w:rPr>
        <w:sz w:val="16"/>
        <w:szCs w:val="16"/>
      </w:rPr>
      <w:br/>
    </w:r>
    <w:r w:rsidR="004050EB" w:rsidRPr="00983D35">
      <w:rPr>
        <w:sz w:val="16"/>
        <w:szCs w:val="16"/>
      </w:rPr>
      <w:t xml:space="preserve">Page </w:t>
    </w:r>
    <w:r w:rsidR="00983D35" w:rsidRPr="00983D35">
      <w:rPr>
        <w:rStyle w:val="Numrodepage"/>
        <w:sz w:val="16"/>
        <w:szCs w:val="16"/>
      </w:rPr>
      <w:fldChar w:fldCharType="begin"/>
    </w:r>
    <w:r w:rsidR="00983D35" w:rsidRPr="00983D35">
      <w:rPr>
        <w:rStyle w:val="Numrodepage"/>
        <w:sz w:val="16"/>
        <w:szCs w:val="16"/>
      </w:rPr>
      <w:instrText xml:space="preserve"> PAGE </w:instrText>
    </w:r>
    <w:r w:rsidR="00983D35" w:rsidRPr="00983D35">
      <w:rPr>
        <w:rStyle w:val="Numrodepage"/>
        <w:sz w:val="16"/>
        <w:szCs w:val="16"/>
      </w:rPr>
      <w:fldChar w:fldCharType="separate"/>
    </w:r>
    <w:r w:rsidR="00644EFD">
      <w:rPr>
        <w:rStyle w:val="Numrodepage"/>
        <w:noProof/>
        <w:sz w:val="16"/>
        <w:szCs w:val="16"/>
      </w:rPr>
      <w:t>1</w:t>
    </w:r>
    <w:r w:rsidR="00983D35" w:rsidRPr="00983D35">
      <w:rPr>
        <w:rStyle w:val="Numrodepage"/>
        <w:sz w:val="16"/>
        <w:szCs w:val="16"/>
      </w:rPr>
      <w:fldChar w:fldCharType="end"/>
    </w:r>
    <w:r w:rsidR="00983D35" w:rsidRPr="00983D35">
      <w:rPr>
        <w:rStyle w:val="Numrodepage"/>
        <w:sz w:val="16"/>
        <w:szCs w:val="16"/>
      </w:rPr>
      <w:t>/</w:t>
    </w:r>
    <w:r w:rsidR="00983D35" w:rsidRPr="00983D35">
      <w:rPr>
        <w:rStyle w:val="Numrodepage"/>
        <w:sz w:val="16"/>
        <w:szCs w:val="16"/>
      </w:rPr>
      <w:fldChar w:fldCharType="begin"/>
    </w:r>
    <w:r w:rsidR="00983D35" w:rsidRPr="00983D35">
      <w:rPr>
        <w:rStyle w:val="Numrodepage"/>
        <w:sz w:val="16"/>
        <w:szCs w:val="16"/>
      </w:rPr>
      <w:instrText xml:space="preserve"> NUMPAGES </w:instrText>
    </w:r>
    <w:r w:rsidR="00983D35" w:rsidRPr="00983D35">
      <w:rPr>
        <w:rStyle w:val="Numrodepage"/>
        <w:sz w:val="16"/>
        <w:szCs w:val="16"/>
      </w:rPr>
      <w:fldChar w:fldCharType="separate"/>
    </w:r>
    <w:r w:rsidR="00644EFD">
      <w:rPr>
        <w:rStyle w:val="Numrodepage"/>
        <w:noProof/>
        <w:sz w:val="16"/>
        <w:szCs w:val="16"/>
      </w:rPr>
      <w:t>2</w:t>
    </w:r>
    <w:r w:rsidR="00983D35" w:rsidRPr="00983D35">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FE" w:rsidRDefault="001C5DFE">
      <w:r>
        <w:separator/>
      </w:r>
    </w:p>
  </w:footnote>
  <w:footnote w:type="continuationSeparator" w:id="0">
    <w:p w:rsidR="001C5DFE" w:rsidRDefault="001C5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1E4" w:rsidRDefault="009331E4">
    <w:pPr>
      <w:pStyle w:val="En-tte"/>
      <w:tabs>
        <w:tab w:val="clear" w:pos="4153"/>
      </w:tabs>
      <w:ind w:left="2835" w:hanging="2835"/>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70A" w:rsidRDefault="00303854" w:rsidP="0035270A">
    <w:pPr>
      <w:pStyle w:val="En-tte"/>
      <w:tabs>
        <w:tab w:val="clear" w:pos="4153"/>
        <w:tab w:val="clear" w:pos="8306"/>
      </w:tabs>
      <w:ind w:left="6804"/>
      <w:rPr>
        <w:sz w:val="8"/>
      </w:rPr>
    </w:pPr>
    <w:r>
      <w:rPr>
        <w:noProof/>
        <w:sz w:val="8"/>
      </w:rPr>
      <w:drawing>
        <wp:anchor distT="0" distB="0" distL="114300" distR="114300" simplePos="0" relativeHeight="251657728" behindDoc="0" locked="0" layoutInCell="1" allowOverlap="1" wp14:anchorId="2DDCCDDD" wp14:editId="7965B48B">
          <wp:simplePos x="0" y="0"/>
          <wp:positionH relativeFrom="column">
            <wp:posOffset>-1759585</wp:posOffset>
          </wp:positionH>
          <wp:positionV relativeFrom="paragraph">
            <wp:posOffset>-149860</wp:posOffset>
          </wp:positionV>
          <wp:extent cx="1637665" cy="2025650"/>
          <wp:effectExtent l="0" t="0" r="0" b="0"/>
          <wp:wrapSquare wrapText="bothSides"/>
          <wp:docPr id="2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270A" w:rsidRDefault="0035270A" w:rsidP="0035270A">
    <w:pPr>
      <w:pStyle w:val="En-tte"/>
      <w:tabs>
        <w:tab w:val="clear" w:pos="4153"/>
        <w:tab w:val="clear" w:pos="8306"/>
      </w:tabs>
      <w:ind w:left="6804"/>
      <w:rPr>
        <w:sz w:val="8"/>
      </w:rPr>
    </w:pPr>
  </w:p>
  <w:p w:rsidR="0035270A" w:rsidRDefault="0035270A" w:rsidP="0035270A">
    <w:pPr>
      <w:pStyle w:val="En-tte"/>
      <w:tabs>
        <w:tab w:val="clear" w:pos="4153"/>
        <w:tab w:val="clear" w:pos="8306"/>
      </w:tabs>
      <w:ind w:left="6804"/>
      <w:rPr>
        <w:sz w:val="8"/>
      </w:rPr>
    </w:pPr>
  </w:p>
  <w:p w:rsidR="0035270A" w:rsidRDefault="0035270A" w:rsidP="0035270A">
    <w:pPr>
      <w:pStyle w:val="En-tte"/>
      <w:tabs>
        <w:tab w:val="clear" w:pos="4153"/>
        <w:tab w:val="clear" w:pos="8306"/>
      </w:tabs>
      <w:ind w:left="6804"/>
      <w:rPr>
        <w:sz w:val="8"/>
      </w:rPr>
    </w:pPr>
  </w:p>
  <w:p w:rsidR="0035270A" w:rsidRDefault="0035270A" w:rsidP="0035270A">
    <w:pPr>
      <w:pStyle w:val="En-tte"/>
      <w:tabs>
        <w:tab w:val="clear" w:pos="4153"/>
        <w:tab w:val="clear" w:pos="8306"/>
      </w:tabs>
      <w:ind w:left="6804"/>
      <w:rPr>
        <w:sz w:val="8"/>
      </w:rPr>
    </w:pPr>
  </w:p>
  <w:p w:rsidR="0035270A" w:rsidRDefault="0035270A" w:rsidP="0035270A">
    <w:pPr>
      <w:pStyle w:val="En-tte"/>
      <w:tabs>
        <w:tab w:val="clear" w:pos="4153"/>
        <w:tab w:val="clear" w:pos="8306"/>
      </w:tabs>
      <w:ind w:left="6804"/>
      <w:rPr>
        <w:sz w:val="8"/>
      </w:rPr>
    </w:pPr>
  </w:p>
  <w:p w:rsidR="0035270A" w:rsidRPr="0054557F" w:rsidRDefault="0035270A" w:rsidP="0035270A">
    <w:pPr>
      <w:widowControl w:val="0"/>
      <w:tabs>
        <w:tab w:val="center" w:pos="4513"/>
        <w:tab w:val="right" w:pos="9026"/>
      </w:tabs>
      <w:autoSpaceDE w:val="0"/>
      <w:autoSpaceDN w:val="0"/>
      <w:jc w:val="right"/>
      <w:rPr>
        <w:rFonts w:ascii="Arial" w:eastAsia="Arial" w:hAnsi="Arial" w:cs="Arial"/>
        <w:sz w:val="22"/>
        <w:szCs w:val="22"/>
        <w:lang w:eastAsia="en-US"/>
      </w:rPr>
    </w:pPr>
    <w:r w:rsidRPr="0054557F">
      <w:rPr>
        <w:rFonts w:ascii="Arial" w:eastAsia="Arial" w:hAnsi="Arial" w:cs="Arial"/>
        <w:b/>
        <w:bCs/>
        <w:sz w:val="24"/>
        <w:szCs w:val="24"/>
        <w:lang w:eastAsia="en-US"/>
      </w:rPr>
      <w:t>Direction générale</w:t>
    </w:r>
    <w:r w:rsidRPr="0054557F">
      <w:rPr>
        <w:rFonts w:ascii="Arial" w:eastAsia="Arial" w:hAnsi="Arial" w:cs="Arial"/>
        <w:b/>
        <w:bCs/>
        <w:sz w:val="24"/>
        <w:szCs w:val="24"/>
        <w:lang w:eastAsia="en-US"/>
      </w:rPr>
      <w:br/>
      <w:t>des ressources humaines</w:t>
    </w:r>
  </w:p>
  <w:p w:rsidR="0035270A" w:rsidRDefault="0035270A" w:rsidP="0035270A">
    <w:pPr>
      <w:pStyle w:val="En-tte"/>
      <w:tabs>
        <w:tab w:val="clear" w:pos="4153"/>
        <w:tab w:val="clear" w:pos="8306"/>
      </w:tabs>
      <w:ind w:left="6804"/>
      <w:rPr>
        <w:sz w:val="8"/>
      </w:rPr>
    </w:pPr>
  </w:p>
  <w:p w:rsidR="009331E4" w:rsidRPr="0035270A" w:rsidRDefault="009331E4" w:rsidP="0035270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fr-FR" w:vendorID="65" w:dllVersion="514"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eEtZBS/YN6wyAiokd6hrrN0VUWZUiWwlW6NZN4xmy+L8ppwsFL4KJ0YqzzDgtWgut6PcVHAQBam/OgIJLrYMg==" w:salt="EAw55p7mK9xd7NY0YbjRtA=="/>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FE"/>
    <w:rsid w:val="000252D5"/>
    <w:rsid w:val="000408FB"/>
    <w:rsid w:val="000528EB"/>
    <w:rsid w:val="00063AFE"/>
    <w:rsid w:val="000746C9"/>
    <w:rsid w:val="000B38EE"/>
    <w:rsid w:val="000D0A67"/>
    <w:rsid w:val="00101D98"/>
    <w:rsid w:val="00174549"/>
    <w:rsid w:val="001C5DFE"/>
    <w:rsid w:val="002410F7"/>
    <w:rsid w:val="00241737"/>
    <w:rsid w:val="002D5F7C"/>
    <w:rsid w:val="00302992"/>
    <w:rsid w:val="00303854"/>
    <w:rsid w:val="0035270A"/>
    <w:rsid w:val="00393B60"/>
    <w:rsid w:val="00401A8B"/>
    <w:rsid w:val="004050EB"/>
    <w:rsid w:val="004155DA"/>
    <w:rsid w:val="00427A99"/>
    <w:rsid w:val="00461304"/>
    <w:rsid w:val="00491DC8"/>
    <w:rsid w:val="00503055"/>
    <w:rsid w:val="005F40E4"/>
    <w:rsid w:val="00644EFD"/>
    <w:rsid w:val="006528DA"/>
    <w:rsid w:val="00696038"/>
    <w:rsid w:val="00792DD7"/>
    <w:rsid w:val="007A429F"/>
    <w:rsid w:val="007C0CFD"/>
    <w:rsid w:val="007D4EDD"/>
    <w:rsid w:val="00854B60"/>
    <w:rsid w:val="00855B19"/>
    <w:rsid w:val="00875FDC"/>
    <w:rsid w:val="008935C8"/>
    <w:rsid w:val="008F7BA3"/>
    <w:rsid w:val="008F7DAA"/>
    <w:rsid w:val="00920907"/>
    <w:rsid w:val="00930552"/>
    <w:rsid w:val="009331E4"/>
    <w:rsid w:val="00952581"/>
    <w:rsid w:val="00983D35"/>
    <w:rsid w:val="009B7735"/>
    <w:rsid w:val="009C018B"/>
    <w:rsid w:val="009E0B80"/>
    <w:rsid w:val="009E77D7"/>
    <w:rsid w:val="00A27E98"/>
    <w:rsid w:val="00A87BC8"/>
    <w:rsid w:val="00A952FF"/>
    <w:rsid w:val="00AB3DB3"/>
    <w:rsid w:val="00AB6BB0"/>
    <w:rsid w:val="00AE423C"/>
    <w:rsid w:val="00B024A4"/>
    <w:rsid w:val="00B35DFB"/>
    <w:rsid w:val="00B87B03"/>
    <w:rsid w:val="00BB05BE"/>
    <w:rsid w:val="00C4688B"/>
    <w:rsid w:val="00CA16C9"/>
    <w:rsid w:val="00CA6E65"/>
    <w:rsid w:val="00CD2B6B"/>
    <w:rsid w:val="00D35ACF"/>
    <w:rsid w:val="00D7170A"/>
    <w:rsid w:val="00DB585B"/>
    <w:rsid w:val="00DD2D64"/>
    <w:rsid w:val="00E12654"/>
    <w:rsid w:val="00E17969"/>
    <w:rsid w:val="00E374E7"/>
    <w:rsid w:val="00E60A33"/>
    <w:rsid w:val="00EA0DE7"/>
    <w:rsid w:val="00EA1D0E"/>
    <w:rsid w:val="00EA6F3C"/>
    <w:rsid w:val="00ED7B03"/>
    <w:rsid w:val="00F01497"/>
    <w:rsid w:val="00F35ACF"/>
    <w:rsid w:val="00F37348"/>
    <w:rsid w:val="00FC6C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C551B"/>
  <w15:chartTrackingRefBased/>
  <w15:docId w15:val="{DED31639-3C80-4AA6-92B1-865B4D07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153"/>
        <w:tab w:val="right" w:pos="8306"/>
      </w:tabs>
    </w:pPr>
  </w:style>
  <w:style w:type="paragraph" w:styleId="Pieddepage">
    <w:name w:val="footer"/>
    <w:basedOn w:val="Normal"/>
    <w:pPr>
      <w:tabs>
        <w:tab w:val="center" w:pos="4153"/>
        <w:tab w:val="right" w:pos="8306"/>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Geneva" w:hAnsi="Geneva"/>
    </w:rPr>
  </w:style>
  <w:style w:type="paragraph" w:customStyle="1" w:styleId="Intgraleblockbasdepage">
    <w:name w:val="Intégrale_block bas de page"/>
    <w:basedOn w:val="Intgralebase"/>
    <w:pPr>
      <w:keepLines/>
      <w:framePr w:hSpace="181" w:vSpace="181" w:wrap="notBeside" w:vAnchor="page" w:hAnchor="text" w:yAlign="bottom"/>
    </w:pPr>
  </w:style>
  <w:style w:type="paragraph" w:customStyle="1" w:styleId="Intgralebase">
    <w:name w:val="Intégrale_base"/>
    <w:pPr>
      <w:spacing w:line="280" w:lineRule="exact"/>
    </w:pPr>
    <w:rPr>
      <w:rFonts w:ascii="Arial" w:hAnsi="Arial"/>
    </w:rPr>
  </w:style>
  <w:style w:type="character" w:styleId="Marquedecommentaire">
    <w:name w:val="annotation reference"/>
    <w:semiHidden/>
    <w:rPr>
      <w:sz w:val="16"/>
    </w:rPr>
  </w:style>
  <w:style w:type="paragraph" w:styleId="Commentaire">
    <w:name w:val="annotation text"/>
    <w:basedOn w:val="Normal"/>
    <w:semiHidden/>
    <w:rPr>
      <w:sz w:val="20"/>
    </w:rPr>
  </w:style>
  <w:style w:type="paragraph" w:styleId="Textedebulles">
    <w:name w:val="Balloon Text"/>
    <w:basedOn w:val="Normal"/>
    <w:semiHidden/>
    <w:rsid w:val="00CA6E65"/>
    <w:rPr>
      <w:rFonts w:ascii="Tahoma" w:hAnsi="Tahoma" w:cs="Tahoma"/>
      <w:sz w:val="16"/>
      <w:szCs w:val="16"/>
    </w:rPr>
  </w:style>
  <w:style w:type="paragraph" w:styleId="TitreTR">
    <w:name w:val="toa heading"/>
    <w:basedOn w:val="Normal"/>
    <w:next w:val="Normal"/>
    <w:semiHidden/>
    <w:pPr>
      <w:spacing w:before="120"/>
    </w:pPr>
    <w:rPr>
      <w:rFonts w:ascii="Helvetica" w:hAnsi="Helvetica"/>
      <w:b/>
      <w:sz w:val="24"/>
    </w:rPr>
  </w:style>
  <w:style w:type="paragraph" w:styleId="Corpsdetexte">
    <w:name w:val="Body Text"/>
    <w:basedOn w:val="Normal"/>
    <w:rsid w:val="00CA6E65"/>
    <w:pPr>
      <w:spacing w:line="360" w:lineRule="auto"/>
      <w:jc w:val="both"/>
    </w:pPr>
    <w:rPr>
      <w:rFonts w:ascii="Times New Roman" w:eastAsia="Times New Roman" w:hAnsi="Times New Roman"/>
      <w:sz w:val="24"/>
      <w:szCs w:val="24"/>
    </w:rPr>
  </w:style>
  <w:style w:type="paragraph" w:styleId="Normalcentr">
    <w:name w:val="Block Text"/>
    <w:basedOn w:val="Normal"/>
    <w:rsid w:val="00CA6E65"/>
    <w:pPr>
      <w:spacing w:after="240" w:line="240" w:lineRule="exact"/>
      <w:ind w:left="-180" w:right="-87"/>
      <w:jc w:val="both"/>
    </w:pPr>
    <w:rPr>
      <w:rFonts w:ascii="Arial" w:eastAsia="Times New Roman" w:hAnsi="Arial"/>
      <w:sz w:val="20"/>
      <w:szCs w:val="24"/>
    </w:rPr>
  </w:style>
  <w:style w:type="paragraph" w:customStyle="1" w:styleId="SNNature">
    <w:name w:val="SNNature"/>
    <w:basedOn w:val="Normal"/>
    <w:next w:val="Normal"/>
    <w:autoRedefine/>
    <w:rsid w:val="00F35ACF"/>
    <w:pPr>
      <w:widowControl w:val="0"/>
      <w:suppressLineNumbers/>
      <w:suppressAutoHyphens/>
    </w:pPr>
    <w:rPr>
      <w:rFonts w:ascii="Arial" w:eastAsia="Lucida Sans Unicode" w:hAnsi="Arial" w:cs="Arial"/>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enorita2025\INSTALL\J_ADMISSIBILITE_IRH_IR1_IR2_IGE_ASI.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J_ADMISSIBILITE_IRH_IR1_IR2_IGE_ASI</Template>
  <TotalTime>0</TotalTime>
  <Pages>2</Pages>
  <Words>374</Words>
  <Characters>2348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Paris le</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le</dc:title>
  <dc:subject/>
  <dc:creator>Beugnon Carole</dc:creator>
  <cp:keywords>à</cp:keywords>
  <cp:lastModifiedBy>Beugnon Carole</cp:lastModifiedBy>
  <cp:revision>2</cp:revision>
  <cp:lastPrinted>2009-04-24T09:29:00Z</cp:lastPrinted>
  <dcterms:created xsi:type="dcterms:W3CDTF">2025-04-30T09:19:00Z</dcterms:created>
  <dcterms:modified xsi:type="dcterms:W3CDTF">2025-04-30T09:19:00Z</dcterms:modified>
</cp:coreProperties>
</file>